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  <w:bookmarkStart w:id="6" w:name="_GoBack"/>
      <w:bookmarkEnd w:id="6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C70">
          <w:rPr>
            <w:noProof/>
          </w:rPr>
          <w:t>2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FD2C70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FD2C70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FD2C70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FD2C70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>Affidamento diretto su MEPA (ex art. 1 comma 2 lett. a) della legge 120/2020 ed ex ar</w:t>
    </w:r>
    <w:r w:rsidR="001651E5">
      <w:rPr>
        <w:sz w:val="18"/>
        <w:szCs w:val="18"/>
      </w:rPr>
      <w:t xml:space="preserve">t. 36, </w:t>
    </w:r>
    <w:r w:rsidR="00F5415C">
      <w:rPr>
        <w:sz w:val="18"/>
        <w:szCs w:val="18"/>
      </w:rPr>
      <w:t xml:space="preserve">comma 6 d.lgs. 50/2016) </w:t>
    </w:r>
    <w:r w:rsidR="00FD2C70" w:rsidRPr="00FD2C70">
      <w:rPr>
        <w:sz w:val="18"/>
        <w:szCs w:val="18"/>
      </w:rPr>
      <w:t>Sviluppo di un poc mediante web app e design utente nell’ambito del pro</w:t>
    </w:r>
    <w:r w:rsidR="00FD2C70">
      <w:rPr>
        <w:sz w:val="18"/>
        <w:szCs w:val="18"/>
      </w:rPr>
      <w:t>getto di sistema di Car Pooling</w:t>
    </w:r>
    <w:r w:rsidR="004F4FDA">
      <w:rPr>
        <w:sz w:val="18"/>
        <w:szCs w:val="18"/>
      </w:rPr>
      <w:t xml:space="preserve"> </w:t>
    </w:r>
    <w:r w:rsidR="00F5415C">
      <w:rPr>
        <w:sz w:val="18"/>
        <w:szCs w:val="18"/>
      </w:rPr>
      <w:t xml:space="preserve">- Allegato </w:t>
    </w:r>
    <w:r w:rsidR="00113852">
      <w:rPr>
        <w:sz w:val="18"/>
        <w:szCs w:val="18"/>
      </w:rPr>
      <w:t>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2C70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3BE5D43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C3088-89E2-4DFD-B3C2-468128E2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12</cp:revision>
  <cp:lastPrinted>2018-06-25T13:06:00Z</cp:lastPrinted>
  <dcterms:created xsi:type="dcterms:W3CDTF">2018-06-25T16:14:00Z</dcterms:created>
  <dcterms:modified xsi:type="dcterms:W3CDTF">2020-10-15T12:59:00Z</dcterms:modified>
</cp:coreProperties>
</file>